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D6" w:rsidRPr="00B33CC4" w:rsidRDefault="00496D5F" w:rsidP="00B33CC4">
      <w:pPr>
        <w:jc w:val="center"/>
        <w:rPr>
          <w:sz w:val="32"/>
          <w:szCs w:val="32"/>
          <w:lang w:val="nb-NO"/>
        </w:rPr>
      </w:pPr>
      <w:r w:rsidRPr="00B33CC4">
        <w:rPr>
          <w:sz w:val="32"/>
          <w:szCs w:val="32"/>
          <w:lang w:val="nb-NO"/>
        </w:rPr>
        <w:t>Gamle Digital Archive Site Notes</w:t>
      </w:r>
    </w:p>
    <w:p w:rsidR="00B33CC4" w:rsidRPr="00B33CC4" w:rsidRDefault="002E2ACF" w:rsidP="00B33CC4">
      <w:pPr>
        <w:jc w:val="center"/>
        <w:rPr>
          <w:lang w:val="nb-NO"/>
        </w:rPr>
      </w:pPr>
      <w:r>
        <w:rPr>
          <w:lang w:val="nb-NO"/>
        </w:rPr>
        <w:t>2018 August 7</w:t>
      </w:r>
      <w:bookmarkStart w:id="0" w:name="_GoBack"/>
      <w:bookmarkEnd w:id="0"/>
    </w:p>
    <w:p w:rsidR="00B33CC4" w:rsidRDefault="00B33CC4">
      <w:pPr>
        <w:rPr>
          <w:lang w:val="nb-NO"/>
        </w:rPr>
      </w:pPr>
    </w:p>
    <w:p w:rsidR="00B33CC4" w:rsidRDefault="00B33CC4">
      <w:pPr>
        <w:rPr>
          <w:lang w:val="nb-NO"/>
        </w:rPr>
      </w:pPr>
    </w:p>
    <w:p w:rsidR="00B33CC4" w:rsidRDefault="00B33CC4">
      <w:r w:rsidRPr="00B33CC4">
        <w:t xml:space="preserve">Web site is </w:t>
      </w:r>
      <w:hyperlink r:id="rId7" w:history="1">
        <w:r w:rsidRPr="00192B0D">
          <w:rPr>
            <w:rStyle w:val="Hyperlink"/>
          </w:rPr>
          <w:t>http://gda.arkivverket.no/cgi-win/WebMeta.exe?spraak=e</w:t>
        </w:r>
      </w:hyperlink>
    </w:p>
    <w:p w:rsidR="0083612B" w:rsidRDefault="0083612B"/>
    <w:p w:rsidR="0083612B" w:rsidRDefault="0083612B">
      <w:r>
        <w:t xml:space="preserve">Bottom line is that this site has some unique databases, and the biggest advantage to many </w:t>
      </w:r>
      <w:r w:rsidR="002E2ACF">
        <w:t xml:space="preserve">people </w:t>
      </w:r>
      <w:r>
        <w:t xml:space="preserve">is its ability to show fellow passengers leaving the ports of Norway. </w:t>
      </w:r>
    </w:p>
    <w:p w:rsidR="00B33CC4" w:rsidRDefault="00B33CC4"/>
    <w:p w:rsidR="00B33CC4" w:rsidRDefault="00B33CC4"/>
    <w:p w:rsidR="00B33CC4" w:rsidRDefault="00B33CC4">
      <w:r>
        <w:rPr>
          <w:noProof/>
        </w:rPr>
        <w:drawing>
          <wp:inline distT="0" distB="0" distL="0" distR="0" wp14:anchorId="4831CBDA" wp14:editId="31F5C6DF">
            <wp:extent cx="6756400" cy="402135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57613" cy="4022079"/>
                    </a:xfrm>
                    <a:prstGeom prst="rect">
                      <a:avLst/>
                    </a:prstGeom>
                  </pic:spPr>
                </pic:pic>
              </a:graphicData>
            </a:graphic>
          </wp:inline>
        </w:drawing>
      </w:r>
    </w:p>
    <w:p w:rsidR="00B33CC4" w:rsidRDefault="00B33CC4"/>
    <w:p w:rsidR="00B33CC4" w:rsidRDefault="002E2ACF">
      <w:r>
        <w:t>As shown above, this site h</w:t>
      </w:r>
      <w:r w:rsidR="00B33CC4">
        <w:t xml:space="preserve">as some 6000 databases, some of which were not carried over to the newer </w:t>
      </w:r>
      <w:r>
        <w:t xml:space="preserve">DA </w:t>
      </w:r>
      <w:r w:rsidR="00B33CC4">
        <w:t xml:space="preserve">sites. </w:t>
      </w:r>
      <w:r w:rsidR="0021512A">
        <w:t xml:space="preserve"> The most recent databases on this site are </w:t>
      </w:r>
      <w:r w:rsidR="00B33CC4">
        <w:t>from the end of 2011.</w:t>
      </w:r>
    </w:p>
    <w:p w:rsidR="00B33CC4" w:rsidRDefault="00B33CC4"/>
    <w:p w:rsidR="00B33CC4" w:rsidRDefault="002E2ACF">
      <w:r>
        <w:t>The site h</w:t>
      </w:r>
      <w:r w:rsidR="002B3017">
        <w:t xml:space="preserve">as 17 categories of materials; on the English version, they are </w:t>
      </w:r>
      <w:r>
        <w:t xml:space="preserve">sometimes listed </w:t>
      </w:r>
      <w:r w:rsidR="002B3017">
        <w:t>in both English and Norwegian. But, the list is not uniformly presented</w:t>
      </w:r>
      <w:r>
        <w:t xml:space="preserve"> for all categories, and </w:t>
      </w:r>
      <w:r w:rsidR="002B3017">
        <w:t xml:space="preserve">in some cases, only the Norwegian version is shown. </w:t>
      </w:r>
      <w:r w:rsidR="00633BFF">
        <w:t xml:space="preserve"> The 17 categories</w:t>
      </w:r>
      <w:r w:rsidR="00AA6012">
        <w:t xml:space="preserve"> are:</w:t>
      </w:r>
    </w:p>
    <w:p w:rsidR="00633BFF" w:rsidRDefault="00633BFF"/>
    <w:tbl>
      <w:tblPr>
        <w:tblStyle w:val="TableGrid"/>
        <w:tblW w:w="0" w:type="auto"/>
        <w:jc w:val="center"/>
        <w:tblInd w:w="156" w:type="dxa"/>
        <w:tblLook w:val="04A0" w:firstRow="1" w:lastRow="0" w:firstColumn="1" w:lastColumn="0" w:noHBand="0" w:noVBand="1"/>
      </w:tblPr>
      <w:tblGrid>
        <w:gridCol w:w="3224"/>
        <w:gridCol w:w="2602"/>
      </w:tblGrid>
      <w:tr w:rsidR="00633BFF" w:rsidTr="007604E5">
        <w:trPr>
          <w:jc w:val="center"/>
        </w:trPr>
        <w:tc>
          <w:tcPr>
            <w:tcW w:w="3224" w:type="dxa"/>
            <w:shd w:val="clear" w:color="auto" w:fill="DBE5F1" w:themeFill="accent1" w:themeFillTint="33"/>
          </w:tcPr>
          <w:p w:rsidR="00633BFF" w:rsidRDefault="00633BFF">
            <w:r>
              <w:t>English</w:t>
            </w:r>
          </w:p>
        </w:tc>
        <w:tc>
          <w:tcPr>
            <w:tcW w:w="2602" w:type="dxa"/>
            <w:shd w:val="clear" w:color="auto" w:fill="DBE5F1" w:themeFill="accent1" w:themeFillTint="33"/>
          </w:tcPr>
          <w:p w:rsidR="00633BFF" w:rsidRDefault="00633BFF">
            <w:r>
              <w:t>Norwegian</w:t>
            </w:r>
          </w:p>
        </w:tc>
      </w:tr>
      <w:tr w:rsidR="007604E5" w:rsidTr="007604E5">
        <w:trPr>
          <w:jc w:val="center"/>
        </w:trPr>
        <w:tc>
          <w:tcPr>
            <w:tcW w:w="3224" w:type="dxa"/>
          </w:tcPr>
          <w:p w:rsidR="007604E5" w:rsidRDefault="007604E5">
            <w:r>
              <w:t>Censuses</w:t>
            </w:r>
          </w:p>
        </w:tc>
        <w:tc>
          <w:tcPr>
            <w:tcW w:w="2602" w:type="dxa"/>
          </w:tcPr>
          <w:p w:rsidR="007604E5" w:rsidRDefault="007604E5">
            <w:r>
              <w:t>Folketeljingar og manntal</w:t>
            </w:r>
          </w:p>
        </w:tc>
      </w:tr>
      <w:tr w:rsidR="007604E5" w:rsidTr="007604E5">
        <w:trPr>
          <w:jc w:val="center"/>
        </w:trPr>
        <w:tc>
          <w:tcPr>
            <w:tcW w:w="3224" w:type="dxa"/>
          </w:tcPr>
          <w:p w:rsidR="007604E5" w:rsidRDefault="007604E5">
            <w:r>
              <w:t>Church registers</w:t>
            </w:r>
          </w:p>
        </w:tc>
        <w:tc>
          <w:tcPr>
            <w:tcW w:w="2602" w:type="dxa"/>
          </w:tcPr>
          <w:p w:rsidR="007604E5" w:rsidRDefault="007604E5">
            <w:r>
              <w:t>Kyrkjebøker</w:t>
            </w:r>
          </w:p>
        </w:tc>
      </w:tr>
      <w:tr w:rsidR="007604E5" w:rsidTr="007604E5">
        <w:trPr>
          <w:jc w:val="center"/>
        </w:trPr>
        <w:tc>
          <w:tcPr>
            <w:tcW w:w="3224" w:type="dxa"/>
          </w:tcPr>
          <w:p w:rsidR="007604E5" w:rsidRDefault="007604E5">
            <w:r>
              <w:t>Citizenship</w:t>
            </w:r>
          </w:p>
        </w:tc>
        <w:tc>
          <w:tcPr>
            <w:tcW w:w="2602" w:type="dxa"/>
          </w:tcPr>
          <w:p w:rsidR="007604E5" w:rsidRDefault="007604E5">
            <w:r>
              <w:t>Borgarruller</w:t>
            </w:r>
          </w:p>
        </w:tc>
      </w:tr>
      <w:tr w:rsidR="007604E5" w:rsidTr="007604E5">
        <w:trPr>
          <w:jc w:val="center"/>
        </w:trPr>
        <w:tc>
          <w:tcPr>
            <w:tcW w:w="3224" w:type="dxa"/>
          </w:tcPr>
          <w:p w:rsidR="007604E5" w:rsidRDefault="007604E5">
            <w:r>
              <w:t>Clerical archives</w:t>
            </w:r>
          </w:p>
        </w:tc>
        <w:tc>
          <w:tcPr>
            <w:tcW w:w="2602" w:type="dxa"/>
          </w:tcPr>
          <w:p w:rsidR="007604E5" w:rsidRDefault="007604E5">
            <w:r>
              <w:t>Geistlege arkiv</w:t>
            </w:r>
          </w:p>
        </w:tc>
      </w:tr>
      <w:tr w:rsidR="007604E5" w:rsidTr="007604E5">
        <w:trPr>
          <w:jc w:val="center"/>
        </w:trPr>
        <w:tc>
          <w:tcPr>
            <w:tcW w:w="3224" w:type="dxa"/>
          </w:tcPr>
          <w:p w:rsidR="007604E5" w:rsidRDefault="007604E5">
            <w:r>
              <w:t>Deed registration and severance</w:t>
            </w:r>
          </w:p>
        </w:tc>
        <w:tc>
          <w:tcPr>
            <w:tcW w:w="2602" w:type="dxa"/>
          </w:tcPr>
          <w:p w:rsidR="007604E5" w:rsidRDefault="007604E5">
            <w:r>
              <w:t>Tinglysing og jordskifte</w:t>
            </w:r>
          </w:p>
        </w:tc>
      </w:tr>
      <w:tr w:rsidR="007604E5" w:rsidTr="007604E5">
        <w:trPr>
          <w:jc w:val="center"/>
        </w:trPr>
        <w:tc>
          <w:tcPr>
            <w:tcW w:w="3224" w:type="dxa"/>
          </w:tcPr>
          <w:p w:rsidR="007604E5" w:rsidRDefault="007604E5">
            <w:r>
              <w:t>Emigrants</w:t>
            </w:r>
          </w:p>
        </w:tc>
        <w:tc>
          <w:tcPr>
            <w:tcW w:w="2602" w:type="dxa"/>
          </w:tcPr>
          <w:p w:rsidR="007604E5" w:rsidRDefault="007604E5">
            <w:r>
              <w:t>Emigrantar</w:t>
            </w:r>
          </w:p>
        </w:tc>
      </w:tr>
      <w:tr w:rsidR="007604E5" w:rsidTr="007604E5">
        <w:trPr>
          <w:jc w:val="center"/>
        </w:trPr>
        <w:tc>
          <w:tcPr>
            <w:tcW w:w="3224" w:type="dxa"/>
          </w:tcPr>
          <w:p w:rsidR="007604E5" w:rsidRDefault="007604E5">
            <w:r>
              <w:t>Fire assessment registers</w:t>
            </w:r>
          </w:p>
        </w:tc>
        <w:tc>
          <w:tcPr>
            <w:tcW w:w="2602" w:type="dxa"/>
          </w:tcPr>
          <w:p w:rsidR="007604E5" w:rsidRDefault="007604E5">
            <w:r>
              <w:t>Branntakstprokollar</w:t>
            </w:r>
          </w:p>
        </w:tc>
      </w:tr>
      <w:tr w:rsidR="007604E5" w:rsidTr="007604E5">
        <w:trPr>
          <w:jc w:val="center"/>
        </w:trPr>
        <w:tc>
          <w:tcPr>
            <w:tcW w:w="3224" w:type="dxa"/>
          </w:tcPr>
          <w:p w:rsidR="007604E5" w:rsidRDefault="007604E5">
            <w:r>
              <w:t>Health care</w:t>
            </w:r>
          </w:p>
        </w:tc>
        <w:tc>
          <w:tcPr>
            <w:tcW w:w="2602" w:type="dxa"/>
          </w:tcPr>
          <w:p w:rsidR="007604E5" w:rsidRPr="00633BFF" w:rsidRDefault="007604E5">
            <w:pPr>
              <w:rPr>
                <w:lang w:val="nb-NO"/>
              </w:rPr>
            </w:pPr>
            <w:r>
              <w:t>Helsef</w:t>
            </w:r>
            <w:r>
              <w:rPr>
                <w:lang w:val="nb-NO"/>
              </w:rPr>
              <w:t>øretak</w:t>
            </w:r>
          </w:p>
        </w:tc>
      </w:tr>
      <w:tr w:rsidR="007604E5" w:rsidTr="007604E5">
        <w:trPr>
          <w:jc w:val="center"/>
        </w:trPr>
        <w:tc>
          <w:tcPr>
            <w:tcW w:w="3224" w:type="dxa"/>
          </w:tcPr>
          <w:p w:rsidR="007604E5" w:rsidRDefault="007604E5">
            <w:r>
              <w:lastRenderedPageBreak/>
              <w:t>Landed property tax protocols</w:t>
            </w:r>
          </w:p>
        </w:tc>
        <w:tc>
          <w:tcPr>
            <w:tcW w:w="2602" w:type="dxa"/>
          </w:tcPr>
          <w:p w:rsidR="007604E5" w:rsidRDefault="007604E5">
            <w:r>
              <w:t>Matriklar og jordebøker</w:t>
            </w:r>
          </w:p>
        </w:tc>
      </w:tr>
      <w:tr w:rsidR="007604E5" w:rsidTr="007604E5">
        <w:trPr>
          <w:jc w:val="center"/>
        </w:trPr>
        <w:tc>
          <w:tcPr>
            <w:tcW w:w="3224" w:type="dxa"/>
          </w:tcPr>
          <w:p w:rsidR="007604E5" w:rsidRDefault="007604E5">
            <w:r>
              <w:t>Legal procedure</w:t>
            </w:r>
          </w:p>
        </w:tc>
        <w:tc>
          <w:tcPr>
            <w:tcW w:w="2602" w:type="dxa"/>
          </w:tcPr>
          <w:p w:rsidR="007604E5" w:rsidRDefault="007604E5">
            <w:r>
              <w:t>Rettargang og straff</w:t>
            </w:r>
          </w:p>
        </w:tc>
      </w:tr>
      <w:tr w:rsidR="007604E5" w:rsidTr="007604E5">
        <w:trPr>
          <w:jc w:val="center"/>
        </w:trPr>
        <w:tc>
          <w:tcPr>
            <w:tcW w:w="3224" w:type="dxa"/>
          </w:tcPr>
          <w:p w:rsidR="007604E5" w:rsidRDefault="007604E5">
            <w:r>
              <w:t>Maps</w:t>
            </w:r>
          </w:p>
        </w:tc>
        <w:tc>
          <w:tcPr>
            <w:tcW w:w="2602" w:type="dxa"/>
          </w:tcPr>
          <w:p w:rsidR="007604E5" w:rsidRDefault="007604E5">
            <w:r>
              <w:t>Kart</w:t>
            </w:r>
          </w:p>
        </w:tc>
      </w:tr>
      <w:tr w:rsidR="007604E5" w:rsidTr="007604E5">
        <w:trPr>
          <w:jc w:val="center"/>
        </w:trPr>
        <w:tc>
          <w:tcPr>
            <w:tcW w:w="3224" w:type="dxa"/>
          </w:tcPr>
          <w:p w:rsidR="007604E5" w:rsidRDefault="007604E5">
            <w:r>
              <w:t>Military</w:t>
            </w:r>
          </w:p>
        </w:tc>
        <w:tc>
          <w:tcPr>
            <w:tcW w:w="2602" w:type="dxa"/>
          </w:tcPr>
          <w:p w:rsidR="007604E5" w:rsidRDefault="007604E5">
            <w:r>
              <w:t>Militærvesen</w:t>
            </w:r>
          </w:p>
        </w:tc>
      </w:tr>
      <w:tr w:rsidR="007604E5" w:rsidTr="007604E5">
        <w:trPr>
          <w:jc w:val="center"/>
        </w:trPr>
        <w:tc>
          <w:tcPr>
            <w:tcW w:w="3224" w:type="dxa"/>
          </w:tcPr>
          <w:p w:rsidR="007604E5" w:rsidRDefault="007604E5">
            <w:r>
              <w:t>Paupers</w:t>
            </w:r>
          </w:p>
        </w:tc>
        <w:tc>
          <w:tcPr>
            <w:tcW w:w="2602" w:type="dxa"/>
          </w:tcPr>
          <w:p w:rsidR="007604E5" w:rsidRDefault="007604E5">
            <w:r>
              <w:t>Fattigstell</w:t>
            </w:r>
          </w:p>
        </w:tc>
      </w:tr>
      <w:tr w:rsidR="007604E5" w:rsidTr="007604E5">
        <w:trPr>
          <w:jc w:val="center"/>
        </w:trPr>
        <w:tc>
          <w:tcPr>
            <w:tcW w:w="3224" w:type="dxa"/>
          </w:tcPr>
          <w:p w:rsidR="007604E5" w:rsidRDefault="007604E5">
            <w:r>
              <w:t>Probate registers</w:t>
            </w:r>
          </w:p>
        </w:tc>
        <w:tc>
          <w:tcPr>
            <w:tcW w:w="2602" w:type="dxa"/>
          </w:tcPr>
          <w:p w:rsidR="007604E5" w:rsidRDefault="007604E5">
            <w:r>
              <w:t>Skifte</w:t>
            </w:r>
          </w:p>
        </w:tc>
      </w:tr>
      <w:tr w:rsidR="007604E5" w:rsidTr="007604E5">
        <w:trPr>
          <w:jc w:val="center"/>
        </w:trPr>
        <w:tc>
          <w:tcPr>
            <w:tcW w:w="3224" w:type="dxa"/>
          </w:tcPr>
          <w:p w:rsidR="007604E5" w:rsidRDefault="007604E5">
            <w:r>
              <w:t>School</w:t>
            </w:r>
          </w:p>
        </w:tc>
        <w:tc>
          <w:tcPr>
            <w:tcW w:w="2602" w:type="dxa"/>
          </w:tcPr>
          <w:p w:rsidR="007604E5" w:rsidRDefault="007604E5">
            <w:r>
              <w:t>Skule</w:t>
            </w:r>
          </w:p>
        </w:tc>
      </w:tr>
      <w:tr w:rsidR="007604E5" w:rsidTr="007604E5">
        <w:trPr>
          <w:jc w:val="center"/>
        </w:trPr>
        <w:tc>
          <w:tcPr>
            <w:tcW w:w="3224" w:type="dxa"/>
          </w:tcPr>
          <w:p w:rsidR="007604E5" w:rsidRDefault="007604E5">
            <w:r>
              <w:t>Tax lists</w:t>
            </w:r>
          </w:p>
        </w:tc>
        <w:tc>
          <w:tcPr>
            <w:tcW w:w="2602" w:type="dxa"/>
          </w:tcPr>
          <w:p w:rsidR="007604E5" w:rsidRDefault="007604E5">
            <w:r>
              <w:t>Skattelister</w:t>
            </w:r>
          </w:p>
        </w:tc>
      </w:tr>
      <w:tr w:rsidR="00526C0F" w:rsidTr="007604E5">
        <w:trPr>
          <w:jc w:val="center"/>
        </w:trPr>
        <w:tc>
          <w:tcPr>
            <w:tcW w:w="3224" w:type="dxa"/>
          </w:tcPr>
          <w:p w:rsidR="00526C0F" w:rsidRDefault="00526C0F">
            <w:r>
              <w:t>Other</w:t>
            </w:r>
          </w:p>
        </w:tc>
        <w:tc>
          <w:tcPr>
            <w:tcW w:w="2602" w:type="dxa"/>
          </w:tcPr>
          <w:p w:rsidR="00526C0F" w:rsidRDefault="00526C0F">
            <w:r>
              <w:t>Andre</w:t>
            </w:r>
          </w:p>
        </w:tc>
      </w:tr>
    </w:tbl>
    <w:p w:rsidR="00633BFF" w:rsidRDefault="00633BFF"/>
    <w:p w:rsidR="002B3017" w:rsidRDefault="002B3017"/>
    <w:p w:rsidR="002B3017" w:rsidRDefault="002B3017">
      <w:r>
        <w:t xml:space="preserve">The dropdown boxes on the left are </w:t>
      </w:r>
      <w:r w:rsidR="0021512A">
        <w:t>self-explanatory</w:t>
      </w:r>
      <w:r>
        <w:t xml:space="preserve">. </w:t>
      </w:r>
      <w:r w:rsidR="00E201ED">
        <w:t xml:space="preserve">Once a county is selected, a new category of municipality is given. </w:t>
      </w:r>
    </w:p>
    <w:p w:rsidR="00E201ED" w:rsidRDefault="00E201ED"/>
    <w:p w:rsidR="00E201ED" w:rsidRDefault="00E201ED">
      <w:r>
        <w:t>The municipalities are presented by municipal number</w:t>
      </w:r>
      <w:r w:rsidR="002E2ACF">
        <w:t>, and not in alphabetical order</w:t>
      </w:r>
      <w:r>
        <w:t xml:space="preserve">. In Hedmark fylke, there are 32 municipalities given. </w:t>
      </w:r>
    </w:p>
    <w:p w:rsidR="00E201ED" w:rsidRDefault="00E201ED"/>
    <w:p w:rsidR="00E201ED" w:rsidRDefault="00E201ED">
      <w:r>
        <w:t>Looking just at Ringsaker (0412), there are 32 databases:</w:t>
      </w:r>
    </w:p>
    <w:p w:rsidR="00E201ED" w:rsidRDefault="00E201ED"/>
    <w:p w:rsidR="00E201ED" w:rsidRDefault="00E201ED" w:rsidP="0021512A">
      <w:pPr>
        <w:ind w:left="2880"/>
      </w:pPr>
      <w:r>
        <w:t xml:space="preserve">  5 census databases</w:t>
      </w:r>
    </w:p>
    <w:p w:rsidR="00E201ED" w:rsidRDefault="00E201ED" w:rsidP="0021512A">
      <w:pPr>
        <w:ind w:left="2880"/>
      </w:pPr>
      <w:r>
        <w:t xml:space="preserve">  3 church registers</w:t>
      </w:r>
    </w:p>
    <w:p w:rsidR="00E201ED" w:rsidRDefault="00E201ED" w:rsidP="0021512A">
      <w:pPr>
        <w:ind w:left="2880"/>
      </w:pPr>
      <w:r>
        <w:t xml:space="preserve">  2 emigrant registers</w:t>
      </w:r>
    </w:p>
    <w:p w:rsidR="00E201ED" w:rsidRDefault="00E201ED" w:rsidP="0021512A">
      <w:pPr>
        <w:ind w:left="2880"/>
      </w:pPr>
      <w:r>
        <w:t xml:space="preserve">  2 probate registers</w:t>
      </w:r>
    </w:p>
    <w:p w:rsidR="00E201ED" w:rsidRDefault="00E201ED" w:rsidP="0021512A">
      <w:pPr>
        <w:ind w:left="2880"/>
      </w:pPr>
      <w:r>
        <w:t>10 journals of court records</w:t>
      </w:r>
    </w:p>
    <w:p w:rsidR="0008097C" w:rsidRDefault="0008097C" w:rsidP="0021512A">
      <w:pPr>
        <w:ind w:left="2880"/>
      </w:pPr>
      <w:r>
        <w:t xml:space="preserve">   1 church account database</w:t>
      </w:r>
    </w:p>
    <w:p w:rsidR="0008097C" w:rsidRDefault="0008097C" w:rsidP="0021512A">
      <w:pPr>
        <w:ind w:left="2880"/>
      </w:pPr>
      <w:r>
        <w:t xml:space="preserve">   3 landed property tax protocols</w:t>
      </w:r>
    </w:p>
    <w:p w:rsidR="0008097C" w:rsidRDefault="0008097C" w:rsidP="0021512A">
      <w:pPr>
        <w:ind w:left="2880"/>
      </w:pPr>
      <w:r>
        <w:t xml:space="preserve">   4 deed and mortgage registers</w:t>
      </w:r>
    </w:p>
    <w:p w:rsidR="0008097C" w:rsidRDefault="0008097C" w:rsidP="0021512A">
      <w:pPr>
        <w:ind w:left="2880"/>
      </w:pPr>
      <w:r>
        <w:t xml:space="preserve">   2 </w:t>
      </w:r>
      <w:r w:rsidR="0021512A">
        <w:t>miscellaneous</w:t>
      </w:r>
      <w:r>
        <w:t xml:space="preserve"> databases</w:t>
      </w:r>
    </w:p>
    <w:p w:rsidR="00AA6012" w:rsidRDefault="00AA6012" w:rsidP="0021512A">
      <w:pPr>
        <w:ind w:left="2880"/>
      </w:pPr>
    </w:p>
    <w:p w:rsidR="00AA6012" w:rsidRDefault="00AA6012" w:rsidP="00AA6012">
      <w:r>
        <w:t xml:space="preserve">In some cases, the databases here are not found on any other site. For example, one of the censuses is from 1660, and one of the church registers is </w:t>
      </w:r>
      <w:r w:rsidR="002E2ACF">
        <w:t>‘</w:t>
      </w:r>
      <w:hyperlink r:id="rId9" w:history="1">
        <w:r>
          <w:rPr>
            <w:rStyle w:val="Hyperlink"/>
            <w:rFonts w:ascii="Arial" w:hAnsi="Arial" w:cs="Arial"/>
            <w:color w:val="993399"/>
            <w:sz w:val="20"/>
            <w:szCs w:val="20"/>
            <w:u w:val="none"/>
          </w:rPr>
          <w:t>Out-migrants from Ringsaker 1814-1925</w:t>
        </w:r>
      </w:hyperlink>
      <w:r w:rsidR="002E2ACF">
        <w:rPr>
          <w:rStyle w:val="Hyperlink"/>
          <w:rFonts w:ascii="Arial" w:hAnsi="Arial" w:cs="Arial"/>
          <w:color w:val="993399"/>
          <w:sz w:val="20"/>
          <w:szCs w:val="20"/>
          <w:u w:val="none"/>
        </w:rPr>
        <w:t>’</w:t>
      </w:r>
      <w:r>
        <w:t xml:space="preserve"> and another is </w:t>
      </w:r>
      <w:r w:rsidR="002E2ACF">
        <w:t>‘</w:t>
      </w:r>
      <w:hyperlink r:id="rId10" w:history="1">
        <w:r>
          <w:rPr>
            <w:rStyle w:val="Hyperlink"/>
            <w:rFonts w:ascii="Arial" w:hAnsi="Arial" w:cs="Arial"/>
            <w:sz w:val="20"/>
            <w:szCs w:val="20"/>
          </w:rPr>
          <w:t>Civil weddings in Hedmark and Oppland 1856-1920</w:t>
        </w:r>
      </w:hyperlink>
      <w:r w:rsidR="002E2ACF">
        <w:t>’.</w:t>
      </w:r>
    </w:p>
    <w:p w:rsidR="0021512A" w:rsidRDefault="0021512A" w:rsidP="0021512A">
      <w:pPr>
        <w:ind w:left="2880"/>
      </w:pPr>
    </w:p>
    <w:p w:rsidR="0021512A" w:rsidRDefault="0021512A" w:rsidP="0021512A">
      <w:r>
        <w:t xml:space="preserve">Note that although the top dark blue line has links to digitized parish registers, probate material and real estate records, these links are actually to a different site – the </w:t>
      </w:r>
      <w:r w:rsidR="00893ECC">
        <w:t>Digital</w:t>
      </w:r>
      <w:r>
        <w:t xml:space="preserve"> Archives 2010 site, also known as DA2010. </w:t>
      </w:r>
    </w:p>
    <w:p w:rsidR="00AA6012" w:rsidRDefault="00AA6012" w:rsidP="0021512A"/>
    <w:p w:rsidR="00AA6012" w:rsidRDefault="00AA6012" w:rsidP="0021512A">
      <w:r>
        <w:t xml:space="preserve">But perhaps the most important feature of the GDA site is ability of the emigrant databases of Oslo and other ports to show not only the person of interest, but other people listed before and after on the register. </w:t>
      </w:r>
    </w:p>
    <w:p w:rsidR="007A6D2D" w:rsidRDefault="007A6D2D" w:rsidP="0021512A"/>
    <w:p w:rsidR="007A6D2D" w:rsidRDefault="007A6D2D" w:rsidP="0021512A">
      <w:r>
        <w:t xml:space="preserve">For example, a recent search was for Gustav/Gustave Nelson/Nilsen/Nielsen, who was said to have emigrated in 1885. Given that he emigrated either from Hedmark (Ringsaker) or perhaps Oppland (Biri or Land), the search was done in the lists of Oslo/Kristiania. In the database of </w:t>
      </w:r>
      <w:r w:rsidR="002E2ACF">
        <w:t>‘</w:t>
      </w:r>
      <w:hyperlink r:id="rId11" w:history="1">
        <w:r>
          <w:rPr>
            <w:rStyle w:val="Hyperlink"/>
            <w:rFonts w:ascii="Arial" w:hAnsi="Arial" w:cs="Arial"/>
            <w:color w:val="993399"/>
            <w:sz w:val="20"/>
            <w:szCs w:val="20"/>
            <w:u w:val="none"/>
          </w:rPr>
          <w:t>Emigrants from Oslo 1867-1930 old</w:t>
        </w:r>
      </w:hyperlink>
      <w:r w:rsidR="002E2ACF">
        <w:rPr>
          <w:rStyle w:val="Hyperlink"/>
          <w:rFonts w:ascii="Arial" w:hAnsi="Arial" w:cs="Arial"/>
          <w:color w:val="993399"/>
          <w:sz w:val="20"/>
          <w:szCs w:val="20"/>
          <w:u w:val="none"/>
        </w:rPr>
        <w:t>’</w:t>
      </w:r>
      <w:r w:rsidR="002E2ACF">
        <w:t> , we got the following, after going through the variations of the choices of first and last names:</w:t>
      </w:r>
    </w:p>
    <w:p w:rsidR="007A6D2D" w:rsidRDefault="007A6D2D" w:rsidP="0021512A"/>
    <w:p w:rsidR="007A6D2D" w:rsidRDefault="007A6D2D" w:rsidP="007A6D2D">
      <w:pPr>
        <w:jc w:val="center"/>
      </w:pPr>
      <w:r>
        <w:rPr>
          <w:noProof/>
        </w:rPr>
        <w:drawing>
          <wp:inline distT="0" distB="0" distL="0" distR="0" wp14:anchorId="5B15AD02" wp14:editId="7E1E6474">
            <wp:extent cx="5943600" cy="1085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085215"/>
                    </a:xfrm>
                    <a:prstGeom prst="rect">
                      <a:avLst/>
                    </a:prstGeom>
                  </pic:spPr>
                </pic:pic>
              </a:graphicData>
            </a:graphic>
          </wp:inline>
        </w:drawing>
      </w:r>
    </w:p>
    <w:p w:rsidR="007A6D2D" w:rsidRDefault="007A6D2D" w:rsidP="0021512A"/>
    <w:p w:rsidR="007A6D2D" w:rsidRDefault="007A6D2D" w:rsidP="0021512A">
      <w:r>
        <w:t>Clicking on the number at the far left</w:t>
      </w:r>
      <w:r w:rsidR="002E2ACF">
        <w:t xml:space="preserve"> for the first entry – since we know that he is potentially from S. Land – we </w:t>
      </w:r>
      <w:r>
        <w:t>get this:</w:t>
      </w:r>
    </w:p>
    <w:p w:rsidR="007A6D2D" w:rsidRDefault="007A6D2D" w:rsidP="0021512A"/>
    <w:p w:rsidR="007A6D2D" w:rsidRDefault="007A6D2D" w:rsidP="007A6D2D">
      <w:pPr>
        <w:jc w:val="center"/>
      </w:pPr>
      <w:r>
        <w:rPr>
          <w:noProof/>
        </w:rPr>
        <w:drawing>
          <wp:inline distT="0" distB="0" distL="0" distR="0" wp14:anchorId="3AFAF566" wp14:editId="2DA34F0B">
            <wp:extent cx="5943600" cy="1845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845310"/>
                    </a:xfrm>
                    <a:prstGeom prst="rect">
                      <a:avLst/>
                    </a:prstGeom>
                  </pic:spPr>
                </pic:pic>
              </a:graphicData>
            </a:graphic>
          </wp:inline>
        </w:drawing>
      </w:r>
    </w:p>
    <w:p w:rsidR="007A6D2D" w:rsidRDefault="007A6D2D" w:rsidP="0021512A"/>
    <w:p w:rsidR="007A6D2D" w:rsidRDefault="007A6D2D" w:rsidP="0021512A">
      <w:r>
        <w:t>and it appears that yes, a sister by the name of Karen M. traveled with him.  (We were later able to find her records as well as his.)</w:t>
      </w:r>
    </w:p>
    <w:p w:rsidR="007A6D2D" w:rsidRDefault="007A6D2D" w:rsidP="0021512A"/>
    <w:p w:rsidR="007A6D2D" w:rsidRDefault="007A6D2D" w:rsidP="0021512A">
      <w:r>
        <w:t>No other site that I am aware of has this fe</w:t>
      </w:r>
      <w:r w:rsidR="002E2ACF">
        <w:t xml:space="preserve">ature to show fellow travelers in such a clear, concise and comprehensive manner. </w:t>
      </w:r>
    </w:p>
    <w:p w:rsidR="0008097C" w:rsidRDefault="0008097C" w:rsidP="00E201ED">
      <w:pPr>
        <w:ind w:left="720"/>
      </w:pPr>
    </w:p>
    <w:p w:rsidR="00B33CC4" w:rsidRDefault="00B33CC4"/>
    <w:p w:rsidR="00B33CC4" w:rsidRPr="00B33CC4" w:rsidRDefault="00B33CC4"/>
    <w:sectPr w:rsidR="00B33CC4" w:rsidRPr="00B33CC4" w:rsidSect="009C3869">
      <w:footerReference w:type="default" r:id="rId14"/>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2A" w:rsidRDefault="0021512A" w:rsidP="0021512A">
      <w:r>
        <w:separator/>
      </w:r>
    </w:p>
  </w:endnote>
  <w:endnote w:type="continuationSeparator" w:id="0">
    <w:p w:rsidR="0021512A" w:rsidRDefault="0021512A" w:rsidP="0021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631751"/>
      <w:docPartObj>
        <w:docPartGallery w:val="Page Numbers (Bottom of Page)"/>
        <w:docPartUnique/>
      </w:docPartObj>
    </w:sdtPr>
    <w:sdtEndPr>
      <w:rPr>
        <w:noProof/>
      </w:rPr>
    </w:sdtEndPr>
    <w:sdtContent>
      <w:p w:rsidR="0021512A" w:rsidRDefault="0021512A">
        <w:pPr>
          <w:pStyle w:val="Footer"/>
          <w:jc w:val="center"/>
        </w:pPr>
        <w:r>
          <w:fldChar w:fldCharType="begin"/>
        </w:r>
        <w:r>
          <w:instrText xml:space="preserve"> PAGE   \* MERGEFORMAT </w:instrText>
        </w:r>
        <w:r>
          <w:fldChar w:fldCharType="separate"/>
        </w:r>
        <w:r w:rsidR="00530128">
          <w:rPr>
            <w:noProof/>
          </w:rPr>
          <w:t>1</w:t>
        </w:r>
        <w:r>
          <w:rPr>
            <w:noProof/>
          </w:rPr>
          <w:fldChar w:fldCharType="end"/>
        </w:r>
      </w:p>
    </w:sdtContent>
  </w:sdt>
  <w:p w:rsidR="0021512A" w:rsidRDefault="00215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2A" w:rsidRDefault="0021512A" w:rsidP="0021512A">
      <w:r>
        <w:separator/>
      </w:r>
    </w:p>
  </w:footnote>
  <w:footnote w:type="continuationSeparator" w:id="0">
    <w:p w:rsidR="0021512A" w:rsidRDefault="0021512A" w:rsidP="00215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5F"/>
    <w:rsid w:val="0008097C"/>
    <w:rsid w:val="00092858"/>
    <w:rsid w:val="000C5EA0"/>
    <w:rsid w:val="0021512A"/>
    <w:rsid w:val="002B3017"/>
    <w:rsid w:val="002E2ACF"/>
    <w:rsid w:val="00456132"/>
    <w:rsid w:val="00492A47"/>
    <w:rsid w:val="00496D5F"/>
    <w:rsid w:val="00526C0F"/>
    <w:rsid w:val="00530128"/>
    <w:rsid w:val="005703B5"/>
    <w:rsid w:val="00633BFF"/>
    <w:rsid w:val="007604E5"/>
    <w:rsid w:val="007A6D2D"/>
    <w:rsid w:val="0083612B"/>
    <w:rsid w:val="00893ECC"/>
    <w:rsid w:val="009C3869"/>
    <w:rsid w:val="00A67197"/>
    <w:rsid w:val="00AA6012"/>
    <w:rsid w:val="00B33CC4"/>
    <w:rsid w:val="00E201ED"/>
    <w:rsid w:val="00E6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CC4"/>
    <w:rPr>
      <w:color w:val="0000FF" w:themeColor="hyperlink"/>
      <w:u w:val="single"/>
    </w:rPr>
  </w:style>
  <w:style w:type="paragraph" w:styleId="BalloonText">
    <w:name w:val="Balloon Text"/>
    <w:basedOn w:val="Normal"/>
    <w:link w:val="BalloonTextChar"/>
    <w:uiPriority w:val="99"/>
    <w:semiHidden/>
    <w:unhideWhenUsed/>
    <w:rsid w:val="00B33CC4"/>
    <w:rPr>
      <w:rFonts w:ascii="Tahoma" w:hAnsi="Tahoma" w:cs="Tahoma"/>
      <w:sz w:val="16"/>
      <w:szCs w:val="16"/>
    </w:rPr>
  </w:style>
  <w:style w:type="character" w:customStyle="1" w:styleId="BalloonTextChar">
    <w:name w:val="Balloon Text Char"/>
    <w:basedOn w:val="DefaultParagraphFont"/>
    <w:link w:val="BalloonText"/>
    <w:uiPriority w:val="99"/>
    <w:semiHidden/>
    <w:rsid w:val="00B33CC4"/>
    <w:rPr>
      <w:rFonts w:ascii="Tahoma" w:hAnsi="Tahoma" w:cs="Tahoma"/>
      <w:sz w:val="16"/>
      <w:szCs w:val="16"/>
    </w:rPr>
  </w:style>
  <w:style w:type="paragraph" w:styleId="Header">
    <w:name w:val="header"/>
    <w:basedOn w:val="Normal"/>
    <w:link w:val="HeaderChar"/>
    <w:uiPriority w:val="99"/>
    <w:unhideWhenUsed/>
    <w:rsid w:val="0021512A"/>
    <w:pPr>
      <w:tabs>
        <w:tab w:val="center" w:pos="4680"/>
        <w:tab w:val="right" w:pos="9360"/>
      </w:tabs>
    </w:pPr>
  </w:style>
  <w:style w:type="character" w:customStyle="1" w:styleId="HeaderChar">
    <w:name w:val="Header Char"/>
    <w:basedOn w:val="DefaultParagraphFont"/>
    <w:link w:val="Header"/>
    <w:uiPriority w:val="99"/>
    <w:rsid w:val="0021512A"/>
  </w:style>
  <w:style w:type="paragraph" w:styleId="Footer">
    <w:name w:val="footer"/>
    <w:basedOn w:val="Normal"/>
    <w:link w:val="FooterChar"/>
    <w:uiPriority w:val="99"/>
    <w:unhideWhenUsed/>
    <w:rsid w:val="0021512A"/>
    <w:pPr>
      <w:tabs>
        <w:tab w:val="center" w:pos="4680"/>
        <w:tab w:val="right" w:pos="9360"/>
      </w:tabs>
    </w:pPr>
  </w:style>
  <w:style w:type="character" w:customStyle="1" w:styleId="FooterChar">
    <w:name w:val="Footer Char"/>
    <w:basedOn w:val="DefaultParagraphFont"/>
    <w:link w:val="Footer"/>
    <w:uiPriority w:val="99"/>
    <w:rsid w:val="0021512A"/>
  </w:style>
  <w:style w:type="table" w:styleId="TableGrid">
    <w:name w:val="Table Grid"/>
    <w:basedOn w:val="TableNormal"/>
    <w:uiPriority w:val="59"/>
    <w:rsid w:val="00633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CC4"/>
    <w:rPr>
      <w:color w:val="0000FF" w:themeColor="hyperlink"/>
      <w:u w:val="single"/>
    </w:rPr>
  </w:style>
  <w:style w:type="paragraph" w:styleId="BalloonText">
    <w:name w:val="Balloon Text"/>
    <w:basedOn w:val="Normal"/>
    <w:link w:val="BalloonTextChar"/>
    <w:uiPriority w:val="99"/>
    <w:semiHidden/>
    <w:unhideWhenUsed/>
    <w:rsid w:val="00B33CC4"/>
    <w:rPr>
      <w:rFonts w:ascii="Tahoma" w:hAnsi="Tahoma" w:cs="Tahoma"/>
      <w:sz w:val="16"/>
      <w:szCs w:val="16"/>
    </w:rPr>
  </w:style>
  <w:style w:type="character" w:customStyle="1" w:styleId="BalloonTextChar">
    <w:name w:val="Balloon Text Char"/>
    <w:basedOn w:val="DefaultParagraphFont"/>
    <w:link w:val="BalloonText"/>
    <w:uiPriority w:val="99"/>
    <w:semiHidden/>
    <w:rsid w:val="00B33CC4"/>
    <w:rPr>
      <w:rFonts w:ascii="Tahoma" w:hAnsi="Tahoma" w:cs="Tahoma"/>
      <w:sz w:val="16"/>
      <w:szCs w:val="16"/>
    </w:rPr>
  </w:style>
  <w:style w:type="paragraph" w:styleId="Header">
    <w:name w:val="header"/>
    <w:basedOn w:val="Normal"/>
    <w:link w:val="HeaderChar"/>
    <w:uiPriority w:val="99"/>
    <w:unhideWhenUsed/>
    <w:rsid w:val="0021512A"/>
    <w:pPr>
      <w:tabs>
        <w:tab w:val="center" w:pos="4680"/>
        <w:tab w:val="right" w:pos="9360"/>
      </w:tabs>
    </w:pPr>
  </w:style>
  <w:style w:type="character" w:customStyle="1" w:styleId="HeaderChar">
    <w:name w:val="Header Char"/>
    <w:basedOn w:val="DefaultParagraphFont"/>
    <w:link w:val="Header"/>
    <w:uiPriority w:val="99"/>
    <w:rsid w:val="0021512A"/>
  </w:style>
  <w:style w:type="paragraph" w:styleId="Footer">
    <w:name w:val="footer"/>
    <w:basedOn w:val="Normal"/>
    <w:link w:val="FooterChar"/>
    <w:uiPriority w:val="99"/>
    <w:unhideWhenUsed/>
    <w:rsid w:val="0021512A"/>
    <w:pPr>
      <w:tabs>
        <w:tab w:val="center" w:pos="4680"/>
        <w:tab w:val="right" w:pos="9360"/>
      </w:tabs>
    </w:pPr>
  </w:style>
  <w:style w:type="character" w:customStyle="1" w:styleId="FooterChar">
    <w:name w:val="Footer Char"/>
    <w:basedOn w:val="DefaultParagraphFont"/>
    <w:link w:val="Footer"/>
    <w:uiPriority w:val="99"/>
    <w:rsid w:val="0021512A"/>
  </w:style>
  <w:style w:type="table" w:styleId="TableGrid">
    <w:name w:val="Table Grid"/>
    <w:basedOn w:val="TableNormal"/>
    <w:uiPriority w:val="59"/>
    <w:rsid w:val="00633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gda.arkivverket.no/cgi-win/WebMeta.exe?spraak=e" TargetMode="External"/><Relationship Id="rId12"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gda.arkivverket.no/cgi-win/webcens.exe?slag=visbase&amp;filnamn=EMIOSLO&amp;spraak=e&amp;metanr=139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da.arkivverket.no/cgi-win/webcens.exe?slag=visbase&amp;filnamn=borgvigd&amp;spraak=e&amp;metanr=35" TargetMode="External"/><Relationship Id="rId4" Type="http://schemas.openxmlformats.org/officeDocument/2006/relationships/webSettings" Target="webSettings.xml"/><Relationship Id="rId9" Type="http://schemas.openxmlformats.org/officeDocument/2006/relationships/hyperlink" Target="http://gda.arkivverket.no/cgi-win/webcens.exe?slag=visbase&amp;filnamn=uf04121814&amp;spraak=e&amp;metanr=343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10</cp:revision>
  <dcterms:created xsi:type="dcterms:W3CDTF">2018-08-02T00:46:00Z</dcterms:created>
  <dcterms:modified xsi:type="dcterms:W3CDTF">2018-08-07T17:25:00Z</dcterms:modified>
</cp:coreProperties>
</file>